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left"/>
      </w:pPr>
      <w:r>
        <w:t>AI Foundry Integration Addendum - Vendor-Neutral Curriculum Language</w:t>
      </w:r>
    </w:p>
    <w:p>
      <w:r>
        <w:t>Vendor-neutral student and faculty language.</w:t>
      </w:r>
    </w:p>
    <w:p>
      <w:r>
        <w:rPr>
          <w:i/>
        </w:rPr>
        <w:t>Accessibility note: this Word document uses built-in heading styles, list styles, descriptive links, and repeated table header rows for assistive technology.</w:t>
      </w:r>
    </w:p>
    <w:p>
      <w:r>
        <w:t>This addendum defines the platform-agnostic AI Foundry layer used across AIINFRA. It should be used in course materials without naming any vendor.</w:t>
      </w:r>
    </w:p>
    <w:p>
      <w:pPr>
        <w:pStyle w:val="Heading1"/>
      </w:pPr>
      <w:r>
        <w:t>Definition For Students</w:t>
      </w:r>
    </w:p>
    <w:p>
      <w:r>
        <w:t>An AI Foundry is a shared instructional platform where students can build, train, serve, evaluate, monitor, and secure AI systems using institution-managed compute. It may include GPU VMs, notebooks, remote desktops, model-serving endpoints, vector databases, experiment tracking, dashboards, user/workshop management, and secure app hosting.</w:t>
      </w:r>
    </w:p>
    <w:p>
      <w:r>
        <w:t>The foundry is not a single model API. It is the infrastructure environment around the model.</w:t>
      </w:r>
    </w:p>
    <w:p>
      <w:pPr>
        <w:pStyle w:val="Heading1"/>
      </w:pPr>
      <w:r>
        <w:t>Vendor-Neutral Compute Profiles</w:t>
      </w:r>
    </w:p>
    <w:p>
      <w:r>
        <w:t>Use these generic profiles in assignments instead of vendor SKU names:</w:t>
      </w:r>
    </w:p>
    <w:p>
      <w:pPr>
        <w:pStyle w:val="ListBullet"/>
      </w:pPr>
      <w:r>
        <w:t>Profile A - single 80GB data-center GPU, one head/compute node, suitable for small hosted services, single-model inference, and scheduled adapter training.</w:t>
      </w:r>
    </w:p>
    <w:p>
      <w:pPr>
        <w:pStyle w:val="ListBullet"/>
      </w:pPr>
      <w:r>
        <w:t>Profile B - two 80GB data-center GPUs across head/compute resources, suitable for concurrent classes, heavier inference, or parallel project teams.</w:t>
      </w:r>
    </w:p>
    <w:p>
      <w:pPr>
        <w:pStyle w:val="ListBullet"/>
      </w:pPr>
      <w:r>
        <w:t>Profile C - four 80GB data-center GPUs, suitable for multiple capstone teams, larger open models, and higher concurrency testing.</w:t>
      </w:r>
    </w:p>
    <w:p>
      <w:pPr>
        <w:pStyle w:val="ListBullet"/>
      </w:pPr>
      <w:r>
        <w:t>Profile D - eight or more 80GB data-center GPUs, suitable for program-scale scheduling, multi-course pilots, and advanced distributed labs.</w:t>
      </w:r>
    </w:p>
    <w:p>
      <w:r>
        <w:t>Students should justify the profile they request using workload evidence: model size, VRAM need, expected concurrency, latency SLA, storage requirement, and whether the task is training, inference, RAG, or voice/agent hosting.</w:t>
      </w:r>
    </w:p>
    <w:p>
      <w:pPr>
        <w:pStyle w:val="Heading1"/>
      </w:pPr>
      <w:r>
        <w:t>Required Student Evidence When Using A Foundry</w:t>
      </w:r>
    </w:p>
    <w:p>
      <w:r>
        <w:t>Any foundry-backed assignment should require:</w:t>
      </w:r>
    </w:p>
    <w:p>
      <w:pPr>
        <w:pStyle w:val="ListBullet"/>
      </w:pPr>
      <w:r>
        <w:t>Compute profile selected and why.</w:t>
      </w:r>
    </w:p>
    <w:p>
      <w:pPr>
        <w:pStyle w:val="ListBullet"/>
      </w:pPr>
      <w:r>
        <w:t>Reproducible setup steps or infrastructure-as-code.</w:t>
      </w:r>
    </w:p>
    <w:p>
      <w:pPr>
        <w:pStyle w:val="ListBullet"/>
      </w:pPr>
      <w:r>
        <w:t>Running endpoint, notebook, training job, or service log evidence.</w:t>
      </w:r>
    </w:p>
    <w:p>
      <w:pPr>
        <w:pStyle w:val="ListBullet"/>
      </w:pPr>
      <w:r>
        <w:t>Resource-use evidence such as GPU memory, GPU utilization, job duration, throughput, or latency.</w:t>
      </w:r>
    </w:p>
    <w:p>
      <w:pPr>
        <w:pStyle w:val="ListBullet"/>
      </w:pPr>
      <w:r>
        <w:t>Cost model comparing flat shared capacity to metered alternatives.</w:t>
      </w:r>
    </w:p>
    <w:p>
      <w:pPr>
        <w:pStyle w:val="ListBullet"/>
      </w:pPr>
      <w:r>
        <w:t>Security boundary: user access, data source, secrets handling, and what is not exposed.</w:t>
      </w:r>
    </w:p>
    <w:p>
      <w:pPr>
        <w:pStyle w:val="ListBullet"/>
      </w:pPr>
      <w:r>
        <w:t>Exportable artifact: repo, notebook, adapter, model card, runbook, dashboard screenshot, or eval report.</w:t>
      </w:r>
    </w:p>
    <w:p>
      <w:pPr>
        <w:pStyle w:val="Heading1"/>
      </w:pPr>
      <w:r>
        <w:t>Assignments That Require Or Strongly Benefit From A Foundry</w:t>
      </w:r>
    </w:p>
    <w:p>
      <w:pPr>
        <w:pStyle w:val="ListBullet"/>
      </w:pPr>
      <w:r>
        <w:t>Hosted inference service: deploy an open model or model server on a shared GPU VM or cluster and expose an authenticated API.</w:t>
      </w:r>
    </w:p>
    <w:p>
      <w:pPr>
        <w:pStyle w:val="ListBullet"/>
      </w:pPr>
      <w:r>
        <w:t>Hosted RAG chatbot: run a web app/API, vector database, embedding service, retrieval pipeline, and tracing dashboard in a persistent environment.</w:t>
      </w:r>
    </w:p>
    <w:p>
      <w:pPr>
        <w:pStyle w:val="ListBullet"/>
      </w:pPr>
      <w:r>
        <w:t>Voice-enabled AI assistant: add realtime voice transport plus speech-to-text/text-to-speech services to a hosted chatbot.</w:t>
      </w:r>
    </w:p>
    <w:p>
      <w:pPr>
        <w:pStyle w:val="ListBullet"/>
      </w:pPr>
      <w:r>
        <w:t>LoRA/QLoRA adapter training: train a task-specific adapter on institution-managed GPU time, evaluate it, and serve or package it.</w:t>
      </w:r>
    </w:p>
    <w:p>
      <w:pPr>
        <w:pStyle w:val="ListBullet"/>
      </w:pPr>
      <w:r>
        <w:t>GPU FinOps benchmark: measure throughput, latency, and utilization, then compare flat-fee shared capacity against metered GPU or token pricing.</w:t>
      </w:r>
    </w:p>
    <w:p>
      <w:pPr>
        <w:pStyle w:val="ListBullet"/>
      </w:pPr>
      <w:r>
        <w:t>Secure agentic workflow: host an agent with tools, retrieval, logs, guardrails, and human approval controls, then red-team it.</w:t>
      </w:r>
    </w:p>
    <w:p>
      <w:pPr>
        <w:pStyle w:val="ListBullet"/>
      </w:pPr>
      <w:r>
        <w:t>Capstone deployment: submit a foundry evidence appendix with architecture, compute profile, logs, cost model, security controls, and reproducibility notes.</w:t>
      </w:r>
    </w:p>
    <w:p>
      <w:pPr>
        <w:pStyle w:val="Heading1"/>
      </w:pPr>
      <w:r>
        <w:t>Faculty Notes</w:t>
      </w:r>
    </w:p>
    <w:p>
      <w:r>
        <w:t>Keep student-facing language platform agnostic. Say "AI Foundry," "shared GPU VM," "managed model-serving endpoint," "institution-hosted notebook," "vector database," "remote app," and "foundry dashboard" instead of naming products.</w:t>
      </w:r>
    </w:p>
    <w:p>
      <w:r>
        <w:t>Named vendors may be discussed in procurement reports, instructor notes, or comparison appendices, but the graded curriculum should assess capability and reasoning, not familiarity with one vendor console.</w:t>
      </w:r>
    </w:p>
    <w:p>
      <w:pPr>
        <w:pStyle w:val="Heading1"/>
      </w:pPr>
      <w:r>
        <w:t>Suggested Rubric Addition</w:t>
      </w:r>
    </w:p>
    <w:p>
      <w:r>
        <w:t>Foundry Infrastructure Evidence, 10 pts:</w:t>
      </w:r>
    </w:p>
    <w:p>
      <w:pPr>
        <w:pStyle w:val="ListBullet"/>
      </w:pPr>
      <w:r>
        <w:t>3 pts: correct compute profile and workload justification.</w:t>
      </w:r>
    </w:p>
    <w:p>
      <w:pPr>
        <w:pStyle w:val="ListBullet"/>
      </w:pPr>
      <w:r>
        <w:t>2 pts: reproducible setup or deployment steps.</w:t>
      </w:r>
    </w:p>
    <w:p>
      <w:pPr>
        <w:pStyle w:val="ListBullet"/>
      </w:pPr>
      <w:r>
        <w:t>2 pts: runtime evidence such as logs, endpoint output, utilization, latency, or training metrics.</w:t>
      </w:r>
    </w:p>
    <w:p>
      <w:pPr>
        <w:pStyle w:val="ListBullet"/>
      </w:pPr>
      <w:r>
        <w:t>2 pts: cost and right-sizing explanation.</w:t>
      </w:r>
    </w:p>
    <w:p>
      <w:pPr>
        <w:pStyle w:val="ListBullet"/>
      </w:pPr>
      <w:r>
        <w:t>1 pt: security/access boundary documented.</w:t>
      </w:r>
    </w:p>
    <w:p>
      <w:pPr>
        <w:pStyle w:val="Heading1"/>
      </w:pPr>
      <w:r>
        <w:t>Flagship Curriculum Projects To Add</w:t>
      </w:r>
    </w:p>
    <w:p>
      <w:r>
        <w:t>These are new project specifications for the curriculum. They are not assumed to already exist in the current course pages.</w:t>
      </w:r>
    </w:p>
    <w:p>
      <w:pPr>
        <w:pStyle w:val="ListNumber"/>
      </w:pPr>
      <w:r>
        <w:t>Hosted chatbot with optional voice agent. Students deploy a persistent service on a shared AI Foundry VM or cluster. The stack should include a web app or API, model-serving endpoint, retrieval or vector storage layer, monitoring/log evidence, secure access boundaries, and an optional realtime voice path using speech-to-text and text-to-speech services.</w:t>
      </w:r>
    </w:p>
    <w:p>
      <w:pPr>
        <w:pStyle w:val="ListNumber"/>
      </w:pPr>
      <w:r>
        <w:t>Custom model adaptation or LoRA/QLoRA adapter. Students train or fine-tune a task-specific adapter using scheduled foundry GPU time, evaluate base-model versus adapted-model behavior, package the adapter or model artifact, and document the compute profile, training logs, model card, and deployment path.</w:t>
      </w:r>
    </w:p>
    <w:p>
      <w:r>
        <w:t>Both projects should be treated as foundry-required because they depend on persistent services, GPU availability, shared cohort access, and evidence that cannot be produced reliably on student laptops alone.</w:t>
      </w:r>
    </w:p>
    <w:p>
      <w:pPr>
        <w:pStyle w:val="Heading1"/>
      </w:pPr>
      <w:r>
        <w:t>STEM Research Infrastructure Studio Track</w:t>
      </w:r>
    </w:p>
    <w:p>
      <w:r>
        <w:t>This track adds an interdisciplinary collaboration model to the AI Foundry curriculum. CS/CIS students act as the AI infrastructure team for STEM students or faculty who bring a scientific question, dataset, and validation context.</w:t>
      </w:r>
    </w:p>
    <w:p>
      <w:r>
        <w:rPr>
          <w:b/>
        </w:rPr>
        <w:t>Student-facing framing:</w:t>
      </w:r>
      <w:r>
        <w:t xml:space="preserve"> Build the infrastructure that lets a research team use AI responsibly and reproducibly on scientific data.</w:t>
      </w:r>
    </w:p>
    <w:p>
      <w:r>
        <w:rPr>
          <w:b/>
        </w:rPr>
        <w:t>Role split:</w:t>
      </w:r>
    </w:p>
    <w:p>
      <w:pPr>
        <w:pStyle w:val="ListBullet"/>
      </w:pPr>
      <w:r>
        <w:t>STEM partner: research question, domain background, dataset meaning, scientific success criteria, and interpretation of results.</w:t>
      </w:r>
    </w:p>
    <w:p>
      <w:pPr>
        <w:pStyle w:val="ListBullet"/>
      </w:pPr>
      <w:r>
        <w:t>CS/CIS AIINFRA team: compute profile, data pipeline, model or benchmark environment, storage, experiment tracking, monitoring, security boundary, cost model, and reproducible deployment.</w:t>
      </w:r>
    </w:p>
    <w:p>
      <w:r>
        <w:rPr>
          <w:b/>
        </w:rPr>
        <w:t>Suitable dataset sources:</w:t>
      </w:r>
      <w:r>
        <w:t xml:space="preserve"> public scientific simulation datasets, open lab datasets, campus-approved research data, or benchmark collections. The Well can be used as a reference example because it contains large spatiotemporal physics simulation datasets and exposes a PyTorch-oriented workflow.</w:t>
      </w:r>
    </w:p>
    <w:p>
      <w:r>
        <w:rPr>
          <w:b/>
        </w:rPr>
        <w:t>Foundry requirements:</w:t>
      </w:r>
    </w:p>
    <w:p>
      <w:pPr>
        <w:pStyle w:val="ListBullet"/>
      </w:pPr>
      <w:r>
        <w:t>Shared storage or dataset cache.</w:t>
      </w:r>
    </w:p>
    <w:p>
      <w:pPr>
        <w:pStyle w:val="ListBullet"/>
      </w:pPr>
      <w:r>
        <w:t>Scheduled GPU access for benchmark or training runs.</w:t>
      </w:r>
    </w:p>
    <w:p>
      <w:pPr>
        <w:pStyle w:val="ListBullet"/>
      </w:pPr>
      <w:r>
        <w:t>Reproducible Python environment and container image.</w:t>
      </w:r>
    </w:p>
    <w:p>
      <w:pPr>
        <w:pStyle w:val="ListBullet"/>
      </w:pPr>
      <w:r>
        <w:t>Experiment tracking and evaluation outputs.</w:t>
      </w:r>
    </w:p>
    <w:p>
      <w:pPr>
        <w:pStyle w:val="ListBullet"/>
      </w:pPr>
      <w:r>
        <w:t>Cost/right-sizing evidence.</w:t>
      </w:r>
    </w:p>
    <w:p>
      <w:pPr>
        <w:pStyle w:val="ListBullet"/>
      </w:pPr>
      <w:r>
        <w:t>Research handoff package that a STEM collaborator can understand.</w:t>
      </w:r>
    </w:p>
    <w:p>
      <w:r>
        <w:rPr>
          <w:b/>
        </w:rPr>
        <w:t>Suggested deliverables:</w:t>
      </w:r>
    </w:p>
    <w:p>
      <w:pPr>
        <w:pStyle w:val="ListBullet"/>
      </w:pPr>
      <w:r>
        <w:t>Joint project charter with STEM and CS/CIS responsibilities.</w:t>
      </w:r>
    </w:p>
    <w:p>
      <w:pPr>
        <w:pStyle w:val="ListBullet"/>
      </w:pPr>
      <w:r>
        <w:t>Data card covering source, license, size, fields, privacy, and scientific meaning.</w:t>
      </w:r>
    </w:p>
    <w:p>
      <w:pPr>
        <w:pStyle w:val="ListBullet"/>
      </w:pPr>
      <w:r>
        <w:t>Baseline benchmark or model run.</w:t>
      </w:r>
    </w:p>
    <w:p>
      <w:pPr>
        <w:pStyle w:val="ListBullet"/>
      </w:pPr>
      <w:r>
        <w:t>Infrastructure runbook and reproducibility package.</w:t>
      </w:r>
    </w:p>
    <w:p>
      <w:pPr>
        <w:pStyle w:val="ListBullet"/>
      </w:pPr>
      <w:r>
        <w:t>Research-facing result summary written for non-infrastructure readers.</w:t>
      </w:r>
    </w:p>
    <w:p>
      <w:pPr>
        <w:pStyle w:val="ListBullet"/>
      </w:pPr>
      <w:r>
        <w:t>Technical appendix covering compute, logs, performance, cost, and limitations.</w:t>
      </w:r>
    </w:p>
    <w:p>
      <w:r>
        <w:t>This track should be optional at first, then expanded into a formal cross-listed or partner-project pathway if STEM faculty identify recurring datasets or research questions.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 w:ascii="Arial" w:hAnsi="Arial"/>
      <w:b/>
      <w:bCs/>
      <w:color w:val="15161A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 w:ascii="Arial" w:hAnsi="Arial"/>
      <w:b/>
      <w:bCs/>
      <w:color w:val="15161A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 w:ascii="Arial" w:hAnsi="Arial"/>
      <w:b/>
      <w:bCs/>
      <w:color w:val="15161A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120" w:line="240" w:lineRule="auto" w:before="240"/>
      <w:contextualSpacing/>
    </w:pPr>
    <w:rPr>
      <w:rFonts w:asciiTheme="majorHAnsi" w:eastAsiaTheme="majorEastAsia" w:hAnsiTheme="majorHAnsi" w:cstheme="majorBidi" w:ascii="Arial" w:hAnsi="Arial"/>
      <w:b/>
      <w:color w:val="15161A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Foundry Integration Addendum - Vendor-Neutral Curriculum Language</dc:title>
  <dc:subject>Vendor-neutral student and faculty language.</dc:subject>
  <dc:creator>AI Infrastructure and Architecture</dc:creator>
  <cp:keywords>AI infrastructure, curriculum, accessible document</cp:keywords>
  <dc:description>Generated from site markdown with semantic headings, lists, and table headers.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